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E093B" w14:textId="08E327D0" w:rsidR="00D93EC0" w:rsidRPr="00DA12F7" w:rsidRDefault="00D93EC0" w:rsidP="00D93EC0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NR AdHoc#3</w:t>
      </w:r>
      <w:r w:rsidRPr="00DA12F7">
        <w:rPr>
          <w:rFonts w:ascii="Arial" w:hAnsi="Arial" w:cs="Arial"/>
          <w:b/>
          <w:sz w:val="24"/>
        </w:rPr>
        <w:tab/>
        <w:t>R1-</w:t>
      </w:r>
      <w:r w:rsidR="00F605D3">
        <w:rPr>
          <w:rFonts w:ascii="Arial" w:hAnsi="Arial" w:cs="Arial"/>
          <w:b/>
          <w:sz w:val="24"/>
        </w:rPr>
        <w:t>1716409</w:t>
      </w:r>
    </w:p>
    <w:p w14:paraId="50E4CDA9" w14:textId="34D8886D" w:rsidR="00D93EC0" w:rsidRPr="00DA12F7" w:rsidRDefault="00D93EC0" w:rsidP="00D93EC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Nagoya, Japan, September 18</w:t>
      </w:r>
      <w:r w:rsidRPr="00116328">
        <w:rPr>
          <w:rFonts w:ascii="Arial" w:hAnsi="Arial" w:cs="Arial"/>
          <w:b/>
          <w:sz w:val="24"/>
          <w:szCs w:val="24"/>
          <w:vertAlign w:val="superscript"/>
        </w:rPr>
        <w:t>t</w:t>
      </w:r>
      <w:r w:rsidR="00C167DB">
        <w:rPr>
          <w:rFonts w:ascii="Arial" w:hAnsi="Arial" w:cs="Arial"/>
          <w:b/>
          <w:sz w:val="24"/>
          <w:szCs w:val="24"/>
          <w:vertAlign w:val="superscript"/>
        </w:rPr>
        <w:t>h</w:t>
      </w:r>
      <w:r>
        <w:rPr>
          <w:rFonts w:ascii="Arial" w:hAnsi="Arial" w:cs="Arial"/>
          <w:b/>
          <w:sz w:val="24"/>
          <w:szCs w:val="24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DA12F7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7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32FD778B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D93EC0">
        <w:rPr>
          <w:rFonts w:ascii="Arial" w:hAnsi="Arial"/>
          <w:sz w:val="24"/>
        </w:rPr>
        <w:t>6</w:t>
      </w:r>
      <w:r w:rsidR="0000652B">
        <w:rPr>
          <w:rFonts w:ascii="Arial" w:hAnsi="Arial"/>
          <w:sz w:val="24"/>
        </w:rPr>
        <w:t>.2.</w:t>
      </w:r>
      <w:r w:rsidR="00D93EC0">
        <w:rPr>
          <w:rFonts w:ascii="Arial" w:hAnsi="Arial"/>
          <w:sz w:val="24"/>
        </w:rPr>
        <w:t>3</w:t>
      </w:r>
      <w:r w:rsidR="0000652B">
        <w:rPr>
          <w:rFonts w:ascii="Arial" w:hAnsi="Arial"/>
          <w:sz w:val="24"/>
        </w:rPr>
        <w:t>.</w:t>
      </w:r>
      <w:r w:rsidR="00A333FD">
        <w:rPr>
          <w:rFonts w:ascii="Arial" w:hAnsi="Arial"/>
          <w:sz w:val="24"/>
        </w:rPr>
        <w:t>6</w:t>
      </w:r>
    </w:p>
    <w:p w14:paraId="46F1330E" w14:textId="77777777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50390F7B" w:rsidR="00C10599" w:rsidRPr="000A64D8" w:rsidRDefault="0068226B" w:rsidP="00265CB0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93EC0">
        <w:rPr>
          <w:rFonts w:ascii="Arial" w:hAnsi="Arial"/>
          <w:sz w:val="22"/>
        </w:rPr>
        <w:t>Remaining open issues on TRS</w:t>
      </w:r>
    </w:p>
    <w:p w14:paraId="46F13310" w14:textId="77777777" w:rsidR="0068226B" w:rsidRDefault="0068226B" w:rsidP="00265CB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314414A8" w14:textId="6513D168" w:rsidR="00E97796" w:rsidRPr="00E97796" w:rsidRDefault="00E97796" w:rsidP="00D8017E">
      <w:pPr>
        <w:rPr>
          <w:lang w:eastAsia="zh-CN"/>
        </w:rPr>
      </w:pPr>
      <w:r w:rsidRPr="00E97796">
        <w:rPr>
          <w:rFonts w:eastAsia="MS Mincho"/>
          <w:lang w:eastAsia="ja-JP"/>
        </w:rPr>
        <w:t>At RAN1#</w:t>
      </w:r>
      <w:r w:rsidR="00D93EC0">
        <w:rPr>
          <w:rFonts w:eastAsia="MS Mincho"/>
          <w:lang w:eastAsia="ja-JP"/>
        </w:rPr>
        <w:t>90</w:t>
      </w:r>
      <w:r w:rsidRPr="00E97796">
        <w:rPr>
          <w:rFonts w:eastAsia="MS Mincho"/>
          <w:lang w:eastAsia="ja-JP"/>
        </w:rPr>
        <w:t xml:space="preserve"> meeting</w:t>
      </w:r>
      <w:r w:rsidR="00B4263E">
        <w:t xml:space="preserve"> </w:t>
      </w:r>
      <w:r w:rsidR="00B14287">
        <w:fldChar w:fldCharType="begin"/>
      </w:r>
      <w:r w:rsidR="00B14287">
        <w:instrText xml:space="preserve"> REF _Ref485383493 \r \h </w:instrText>
      </w:r>
      <w:r w:rsidR="00D8017E">
        <w:instrText xml:space="preserve"> \* MERGEFORMAT </w:instrText>
      </w:r>
      <w:r w:rsidR="00B14287">
        <w:fldChar w:fldCharType="separate"/>
      </w:r>
      <w:r w:rsidR="00417097">
        <w:t>[1]</w:t>
      </w:r>
      <w:r w:rsidR="00B14287">
        <w:fldChar w:fldCharType="end"/>
      </w:r>
      <w:r w:rsidRPr="00E97796">
        <w:rPr>
          <w:lang w:eastAsia="zh-CN"/>
        </w:rPr>
        <w:t>,</w:t>
      </w:r>
      <w:r w:rsidRPr="00E97796">
        <w:rPr>
          <w:rFonts w:hint="eastAsia"/>
          <w:lang w:eastAsia="zh-CN"/>
        </w:rPr>
        <w:t xml:space="preserve"> </w:t>
      </w:r>
      <w:r w:rsidRPr="00E97796">
        <w:rPr>
          <w:lang w:eastAsia="zh-CN"/>
        </w:rPr>
        <w:t>it was agreed that:</w:t>
      </w:r>
    </w:p>
    <w:p w14:paraId="69B07B45" w14:textId="77777777" w:rsidR="00DA2420" w:rsidRPr="00080193" w:rsidRDefault="00DA2420" w:rsidP="00DA2420">
      <w:pPr>
        <w:widowControl w:val="0"/>
        <w:jc w:val="both"/>
        <w:rPr>
          <w:rFonts w:eastAsia="MS Mincho"/>
          <w:b/>
          <w:u w:val="single"/>
          <w:lang w:eastAsia="ja-JP"/>
        </w:rPr>
      </w:pPr>
      <w:r w:rsidRPr="00B72C8B">
        <w:rPr>
          <w:rFonts w:eastAsia="MS Mincho" w:hint="eastAsia"/>
          <w:b/>
          <w:highlight w:val="darkYellow"/>
          <w:u w:val="single"/>
          <w:lang w:eastAsia="ja-JP"/>
        </w:rPr>
        <w:t>W</w:t>
      </w:r>
      <w:r w:rsidRPr="00B72C8B">
        <w:rPr>
          <w:b/>
          <w:highlight w:val="darkYellow"/>
          <w:u w:val="single"/>
        </w:rPr>
        <w:t>orking assumption</w:t>
      </w:r>
      <w:r w:rsidRPr="00080193">
        <w:rPr>
          <w:rFonts w:eastAsia="MS Mincho" w:hint="eastAsia"/>
          <w:b/>
          <w:highlight w:val="darkYellow"/>
          <w:u w:val="single"/>
          <w:lang w:eastAsia="ja-JP"/>
        </w:rPr>
        <w:t>s</w:t>
      </w:r>
      <w:r w:rsidRPr="00B72C8B">
        <w:rPr>
          <w:b/>
          <w:highlight w:val="darkYellow"/>
          <w:u w:val="single"/>
        </w:rPr>
        <w:t>:</w:t>
      </w:r>
    </w:p>
    <w:p w14:paraId="3275E441" w14:textId="77777777" w:rsidR="00DA2420" w:rsidRPr="00317F72" w:rsidRDefault="00DA2420" w:rsidP="00DA2420">
      <w:pPr>
        <w:widowControl w:val="0"/>
        <w:numPr>
          <w:ilvl w:val="0"/>
          <w:numId w:val="39"/>
        </w:numPr>
        <w:overflowPunct/>
        <w:autoSpaceDE/>
        <w:autoSpaceDN/>
        <w:adjustRightInd/>
        <w:spacing w:after="0"/>
        <w:jc w:val="both"/>
        <w:textAlignment w:val="auto"/>
      </w:pPr>
      <w:r w:rsidRPr="00317F72">
        <w:t xml:space="preserve">At least </w:t>
      </w:r>
      <w:r w:rsidRPr="00317F72">
        <w:rPr>
          <w:b/>
        </w:rPr>
        <w:t>X</w:t>
      </w:r>
      <w:r>
        <w:t>=2 is supported</w:t>
      </w:r>
    </w:p>
    <w:p w14:paraId="6FC25CEA" w14:textId="77777777" w:rsidR="00DA2420" w:rsidRPr="008612F8" w:rsidRDefault="00DA2420" w:rsidP="00DA2420">
      <w:pPr>
        <w:widowControl w:val="0"/>
        <w:numPr>
          <w:ilvl w:val="1"/>
          <w:numId w:val="39"/>
        </w:numPr>
        <w:overflowPunct/>
        <w:autoSpaceDE/>
        <w:autoSpaceDN/>
        <w:adjustRightInd/>
        <w:spacing w:after="0"/>
        <w:jc w:val="both"/>
        <w:textAlignment w:val="auto"/>
      </w:pPr>
      <w:r w:rsidRPr="00317F72">
        <w:t xml:space="preserve">FFS on </w:t>
      </w:r>
      <w:r w:rsidRPr="00317F72">
        <w:rPr>
          <w:b/>
        </w:rPr>
        <w:t>X</w:t>
      </w:r>
      <w:r>
        <w:t>= 1 and 4</w:t>
      </w:r>
    </w:p>
    <w:p w14:paraId="0E736BE8" w14:textId="77777777" w:rsidR="00DA2420" w:rsidRPr="00317F72" w:rsidRDefault="00DA2420" w:rsidP="00DA2420">
      <w:pPr>
        <w:widowControl w:val="0"/>
        <w:numPr>
          <w:ilvl w:val="1"/>
          <w:numId w:val="39"/>
        </w:numPr>
        <w:overflowPunct/>
        <w:autoSpaceDE/>
        <w:autoSpaceDN/>
        <w:adjustRightInd/>
        <w:spacing w:after="0"/>
        <w:jc w:val="both"/>
        <w:textAlignment w:val="auto"/>
      </w:pPr>
      <w:r w:rsidRPr="00317F72">
        <w:t xml:space="preserve">Check whether </w:t>
      </w:r>
      <w:r w:rsidRPr="00317F72">
        <w:rPr>
          <w:b/>
        </w:rPr>
        <w:t>X</w:t>
      </w:r>
      <w:r w:rsidRPr="00317F72">
        <w:t>=1 can provide sufficient Doppler</w:t>
      </w:r>
      <w:r>
        <w:t xml:space="preserve"> spread estimation performance</w:t>
      </w:r>
    </w:p>
    <w:p w14:paraId="7CFF5029" w14:textId="77777777" w:rsidR="00DA2420" w:rsidRPr="0080021D" w:rsidRDefault="00DA2420" w:rsidP="00DA2420">
      <w:pPr>
        <w:widowControl w:val="0"/>
        <w:numPr>
          <w:ilvl w:val="0"/>
          <w:numId w:val="40"/>
        </w:numPr>
        <w:overflowPunct/>
        <w:autoSpaceDE/>
        <w:autoSpaceDN/>
        <w:adjustRightInd/>
        <w:spacing w:after="0"/>
        <w:jc w:val="both"/>
        <w:textAlignment w:val="auto"/>
      </w:pPr>
      <w:r w:rsidRPr="00080193">
        <w:rPr>
          <w:rFonts w:eastAsia="MS Mincho" w:hint="eastAsia"/>
          <w:lang w:eastAsia="ja-JP"/>
        </w:rPr>
        <w:t>T</w:t>
      </w:r>
      <w:r w:rsidRPr="00317F72">
        <w:t xml:space="preserve">otal symbol number summed over </w:t>
      </w:r>
      <w:r w:rsidRPr="00317F72">
        <w:rPr>
          <w:b/>
        </w:rPr>
        <w:t>X</w:t>
      </w:r>
      <w:r w:rsidRPr="00317F72">
        <w:t xml:space="preserve">=2 slots is 4 (Consider further 2+2 and 3+1, support one or both (FFS)). </w:t>
      </w:r>
    </w:p>
    <w:p w14:paraId="69B32D87" w14:textId="3AFE0E9A" w:rsidR="00DA2420" w:rsidRDefault="00DA2420" w:rsidP="00C167DB">
      <w:pPr>
        <w:widowControl w:val="0"/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</w:pPr>
      <w:r w:rsidRPr="00317F72">
        <w:t>Consider further the posi</w:t>
      </w:r>
      <w:r>
        <w:t>tions, taking into account DMRS</w:t>
      </w:r>
    </w:p>
    <w:p w14:paraId="19E67EF8" w14:textId="77777777" w:rsidR="00DA2420" w:rsidRPr="00287411" w:rsidRDefault="00DA2420" w:rsidP="00DA2420">
      <w:pPr>
        <w:widowControl w:val="0"/>
        <w:jc w:val="both"/>
        <w:rPr>
          <w:b/>
          <w:u w:val="single"/>
        </w:rPr>
      </w:pPr>
      <w:r w:rsidRPr="0080021D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80021D">
        <w:rPr>
          <w:b/>
          <w:highlight w:val="green"/>
          <w:u w:val="single"/>
        </w:rPr>
        <w:t>greement</w:t>
      </w:r>
      <w:r w:rsidRPr="00080193"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80021D">
        <w:rPr>
          <w:b/>
          <w:highlight w:val="green"/>
          <w:u w:val="single"/>
        </w:rPr>
        <w:t>:</w:t>
      </w:r>
      <w:r w:rsidRPr="00287411">
        <w:rPr>
          <w:b/>
          <w:u w:val="single"/>
        </w:rPr>
        <w:t xml:space="preserve"> </w:t>
      </w:r>
    </w:p>
    <w:p w14:paraId="3AA1AB4A" w14:textId="77777777" w:rsidR="00DA2420" w:rsidRPr="00317F72" w:rsidRDefault="00DA2420" w:rsidP="00DA2420">
      <w:pPr>
        <w:widowControl w:val="0"/>
        <w:numPr>
          <w:ilvl w:val="0"/>
          <w:numId w:val="40"/>
        </w:numPr>
        <w:overflowPunct/>
        <w:autoSpaceDE/>
        <w:autoSpaceDN/>
        <w:adjustRightInd/>
        <w:spacing w:after="0"/>
        <w:jc w:val="both"/>
        <w:textAlignment w:val="auto"/>
      </w:pPr>
      <w:r w:rsidRPr="00317F72">
        <w:t>Consider further supporting the bandwidth of TRS to be configured up to the bandwidth of the BWP in addition to ~24, ~50 RBs, and make decision in next meeting</w:t>
      </w:r>
    </w:p>
    <w:p w14:paraId="6734FC63" w14:textId="77777777" w:rsidR="00DA2420" w:rsidRPr="00317F72" w:rsidRDefault="00DA2420" w:rsidP="00DA2420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</w:pPr>
      <w:r w:rsidRPr="00317F72">
        <w:rPr>
          <w:b/>
        </w:rPr>
        <w:t>S</w:t>
      </w:r>
      <w:r w:rsidRPr="00317F72">
        <w:rPr>
          <w:b/>
          <w:vertAlign w:val="subscript"/>
        </w:rPr>
        <w:t>f</w:t>
      </w:r>
      <w:r w:rsidRPr="00317F72">
        <w:t xml:space="preserve">=4 </w:t>
      </w:r>
    </w:p>
    <w:p w14:paraId="76C35F3E" w14:textId="77777777" w:rsidR="00DA2420" w:rsidRPr="00317F72" w:rsidRDefault="00DA2420" w:rsidP="00C167DB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120"/>
        <w:jc w:val="both"/>
        <w:textAlignment w:val="auto"/>
      </w:pPr>
      <w:r w:rsidRPr="00317F72">
        <w:rPr>
          <w:b/>
        </w:rPr>
        <w:t>Y</w:t>
      </w:r>
      <w:r w:rsidRPr="00317F72">
        <w:t xml:space="preserve">&gt;=160ms is not supported. Consider further down-selection on other values agreed in RAN1AdHoc2 </w:t>
      </w:r>
    </w:p>
    <w:p w14:paraId="6C4789AA" w14:textId="75FDE62D" w:rsidR="00DA2420" w:rsidRPr="00DA2420" w:rsidRDefault="00DA2420" w:rsidP="00DA2420">
      <w:pPr>
        <w:rPr>
          <w:rFonts w:eastAsia="MS Mincho"/>
          <w:b/>
          <w:highlight w:val="green"/>
          <w:u w:val="single"/>
          <w:lang w:eastAsia="ja-JP"/>
        </w:rPr>
      </w:pPr>
      <w:r w:rsidRPr="00DA2420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F791FCB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A UE can be configured multiple TRS at least if the UE supports multi-TRP/multi-panel deployment</w:t>
      </w:r>
    </w:p>
    <w:p w14:paraId="34C57674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Details FFS</w:t>
      </w:r>
    </w:p>
    <w:p w14:paraId="165E1377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 xml:space="preserve">TRS can be QCLed with PDSCH DMRS, regarding at least delay spread, average delay, Doppler shift and Doppler spread. </w:t>
      </w:r>
    </w:p>
    <w:p w14:paraId="321D6F1C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Configuration / signalling details FFS</w:t>
      </w:r>
    </w:p>
    <w:p w14:paraId="2E3C4576" w14:textId="77777777" w:rsidR="00DA2420" w:rsidRPr="00DF541E" w:rsidRDefault="00DA2420" w:rsidP="00DA2420">
      <w:pPr>
        <w:numPr>
          <w:ilvl w:val="2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Note: The QCL assumption may be implicit via QCL assumption with other RS</w:t>
      </w:r>
    </w:p>
    <w:p w14:paraId="594193DC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FFS for other QCL parameters</w:t>
      </w:r>
    </w:p>
    <w:p w14:paraId="43D25083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TRS sequence is based on PN generator</w:t>
      </w:r>
    </w:p>
    <w:p w14:paraId="76679983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Study whether TRS is needed in idle mode</w:t>
      </w:r>
    </w:p>
    <w:p w14:paraId="7F793451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For example, paging, RMSI, RAR demodulation performance by considering without TRS for Doppler spread estimation</w:t>
      </w:r>
    </w:p>
    <w:p w14:paraId="67D8FFD5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Study whether TRS needs to be configured on a BWP/carrier without SS block</w:t>
      </w:r>
    </w:p>
    <w:p w14:paraId="0ADB8AB0" w14:textId="77777777" w:rsidR="00DA2420" w:rsidRPr="00DF541E" w:rsidRDefault="00DA2420" w:rsidP="00DA2420">
      <w:pPr>
        <w:numPr>
          <w:ilvl w:val="0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Study the relationship between SS burst, TRS, and DRX ON duration especially with longer DRX cycle</w:t>
      </w:r>
    </w:p>
    <w:p w14:paraId="23644287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The slots with TRS can be immediately after SS burst before the starting point of DRX ON duration. The DRX ON timing is aligned with SS burst within a number of slots</w:t>
      </w:r>
    </w:p>
    <w:p w14:paraId="5858FE8C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 xml:space="preserve">There is timing offset between TRS and SS burst. The DRX ON timing is aligned with SS burst, or with TRS within a number of slots </w:t>
      </w:r>
    </w:p>
    <w:p w14:paraId="692A21F7" w14:textId="77777777" w:rsidR="00DA2420" w:rsidRPr="00DF541E" w:rsidRDefault="00DA2420" w:rsidP="00DA2420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 xml:space="preserve">Configure aperiodic TRS before the starting point of DRX ON duration, so that DRX ON timing is independent of SS burst appearance </w:t>
      </w:r>
    </w:p>
    <w:p w14:paraId="30D4C9D0" w14:textId="5FD9EE48" w:rsidR="00DA2420" w:rsidRDefault="00DA2420" w:rsidP="00C167DB">
      <w:pPr>
        <w:numPr>
          <w:ilvl w:val="1"/>
          <w:numId w:val="42"/>
        </w:numPr>
        <w:tabs>
          <w:tab w:val="left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lang w:eastAsia="ja-JP"/>
        </w:rPr>
      </w:pPr>
      <w:r w:rsidRPr="00DF541E">
        <w:rPr>
          <w:rFonts w:eastAsia="MS Mincho"/>
          <w:lang w:eastAsia="ja-JP"/>
        </w:rPr>
        <w:t>Other solutions are not precluded</w:t>
      </w:r>
    </w:p>
    <w:p w14:paraId="6E4EFCC3" w14:textId="77777777" w:rsidR="00DA2420" w:rsidRPr="00DA2420" w:rsidRDefault="00DA2420" w:rsidP="00DA2420">
      <w:pPr>
        <w:rPr>
          <w:b/>
          <w:u w:val="single"/>
        </w:rPr>
      </w:pPr>
      <w:r w:rsidRPr="00DA2420">
        <w:rPr>
          <w:b/>
          <w:highlight w:val="green"/>
          <w:u w:val="single"/>
        </w:rPr>
        <w:t>Agreements:</w:t>
      </w:r>
    </w:p>
    <w:p w14:paraId="6743BAA0" w14:textId="77777777" w:rsidR="00DA2420" w:rsidRPr="00560B07" w:rsidRDefault="00DA2420" w:rsidP="00DA2420">
      <w:pPr>
        <w:numPr>
          <w:ilvl w:val="0"/>
          <w:numId w:val="43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</w:pPr>
      <w:r w:rsidRPr="00560B07">
        <w:t>For a connected mode UE, UE is expected to receive UE-specific RRC configuration of TRS at least for sub-6 GHz</w:t>
      </w:r>
    </w:p>
    <w:p w14:paraId="2C5B7AA5" w14:textId="086A1439" w:rsidR="00DA2420" w:rsidRDefault="00DA2420" w:rsidP="00C167DB">
      <w:pPr>
        <w:numPr>
          <w:ilvl w:val="1"/>
          <w:numId w:val="43"/>
        </w:numPr>
        <w:tabs>
          <w:tab w:val="left" w:pos="1440"/>
        </w:tabs>
        <w:overflowPunct/>
        <w:autoSpaceDE/>
        <w:autoSpaceDN/>
        <w:adjustRightInd/>
        <w:spacing w:after="240"/>
        <w:textAlignment w:val="auto"/>
      </w:pPr>
      <w:r w:rsidRPr="00560B07">
        <w:t>Before receiving the RRC configuration of TRS, FFS</w:t>
      </w:r>
    </w:p>
    <w:p w14:paraId="17C2C4E4" w14:textId="77777777" w:rsidR="00C167DB" w:rsidRDefault="00C167DB" w:rsidP="00DA2420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</w:pPr>
    </w:p>
    <w:p w14:paraId="49DE5B0A" w14:textId="605EFB6C" w:rsidR="00DA2420" w:rsidRPr="00560B07" w:rsidRDefault="00DA2420" w:rsidP="00DA2420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</w:pPr>
      <w:r>
        <w:t xml:space="preserve">In this contribution, we focus on the discussion of some open issues, including BW of TRS and the relationship between TRS and CDRX. </w:t>
      </w:r>
    </w:p>
    <w:p w14:paraId="46F13335" w14:textId="5B1ABF0C" w:rsidR="00E3066B" w:rsidRDefault="00D93EC0" w:rsidP="00C939E2">
      <w:pPr>
        <w:pStyle w:val="Heading1"/>
        <w:ind w:left="432"/>
        <w:jc w:val="both"/>
      </w:pPr>
      <w:r>
        <w:lastRenderedPageBreak/>
        <w:t>Bandwidth of TRS</w:t>
      </w:r>
    </w:p>
    <w:p w14:paraId="056E9D4D" w14:textId="0C6F4A45" w:rsidR="00DA2420" w:rsidRDefault="00DA2420" w:rsidP="00DA2420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t>It is agreed in the last meeting that we should c</w:t>
      </w:r>
      <w:r w:rsidRPr="00317F72">
        <w:t xml:space="preserve">onsider further supporting the bandwidth of TRS to be configured up to the bandwidth of the BWP in addition to ~24, ~50 RBs, and make decision in </w:t>
      </w:r>
      <w:r>
        <w:t>this upcoming</w:t>
      </w:r>
      <w:r w:rsidRPr="00317F72">
        <w:t xml:space="preserve"> meeting</w:t>
      </w:r>
      <w:r>
        <w:t>.</w:t>
      </w:r>
      <w:r w:rsidR="00004154">
        <w:t xml:space="preserve"> In this section, we provide evidence supporting wide-band TRS configuration with the same BW of the active BWP. It should be clear that</w:t>
      </w:r>
      <w:r>
        <w:t xml:space="preserve"> </w:t>
      </w:r>
      <w:r w:rsidR="00004154">
        <w:t>h</w:t>
      </w:r>
      <w:r>
        <w:t>aving a wide-band TRS is essential in two aspects: (1) large BW provide</w:t>
      </w:r>
      <w:r w:rsidR="00247A79">
        <w:t>s</w:t>
      </w:r>
      <w:r>
        <w:t xml:space="preserve"> fine granularity in the time domain, which guarantees robust TTL operation (2) TRS with larger</w:t>
      </w:r>
      <w:r w:rsidR="00247A79">
        <w:t xml:space="preserve"> BW can lead</w:t>
      </w:r>
      <w:r>
        <w:t xml:space="preserve"> to more accurate power-delay-profile estimation by reducing the effect of convolution leakage</w:t>
      </w:r>
      <w:r w:rsidR="00247A79">
        <w:t xml:space="preserve"> and providing more processing gain</w:t>
      </w:r>
      <w:r>
        <w:t>, which in turn would benefit the channel estimation of DMRS and improve the demod performance of PDSCH</w:t>
      </w:r>
      <w:r w:rsidR="002A11AD">
        <w:t>, given that the bandwidth of DMRS can be as wide as that of the BWP</w:t>
      </w:r>
      <w:r>
        <w:t xml:space="preserve">. In this section, we focus on the second aspect and provide simulation results showing the relationship between TRS BW and PDSCH demod performance. </w:t>
      </w:r>
      <w:r w:rsidR="00247A79">
        <w:t>S</w:t>
      </w:r>
      <w:r>
        <w:t xml:space="preserve">pecifically, </w:t>
      </w:r>
      <w:r w:rsidR="00247A79">
        <w:t>we</w:t>
      </w:r>
      <w:r>
        <w:t xml:space="preserve"> </w:t>
      </w:r>
      <w:r w:rsidR="00247A79">
        <w:t>consider the following TRS, DMRS and PDSCH pattern.</w:t>
      </w:r>
    </w:p>
    <w:p w14:paraId="7719118F" w14:textId="4D5015EE" w:rsidR="00DA2420" w:rsidRPr="00317F72" w:rsidRDefault="00E41288" w:rsidP="00DA2420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rPr>
          <w:rFonts w:asciiTheme="minorHAnsi" w:eastAsia="Calibri" w:hAnsiTheme="minorHAnsi" w:cstheme="minorBidi"/>
          <w:sz w:val="24"/>
          <w:szCs w:val="24"/>
          <w:lang w:eastAsia="zh-CN"/>
        </w:rPr>
        <w:object w:dxaOrig="29796" w:dyaOrig="7779" w14:anchorId="106D2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5pt;height:107.15pt" o:ole="">
            <v:imagedata r:id="rId12" o:title=""/>
          </v:shape>
          <o:OLEObject Type="Embed" ProgID="Visio.Drawing.11" ShapeID="_x0000_i1025" DrawAspect="Content" ObjectID="_1566675598" r:id="rId13"/>
        </w:object>
      </w:r>
    </w:p>
    <w:p w14:paraId="3AF9DA0A" w14:textId="5514194E" w:rsidR="00D93EC0" w:rsidRDefault="00247A79" w:rsidP="00693A99">
      <w:pPr>
        <w:jc w:val="both"/>
      </w:pPr>
      <w:r>
        <w:t>In this set of simulations, we set the BW of PDSCH to be 168RBs, i.e., ~60MHz BW at 30KHz SCS. Correspondingly, we sweep the TRS BW to be 5MHz, 10MHz, 20MHz, 30MHz, and 40MHz, or equivalently, 16-RBs, 32-RBs, 64-RBs, 96-RBs, and 128-RBs at 30KHz SCS. We assume that a single PRG</w:t>
      </w:r>
      <w:r w:rsidR="00004154">
        <w:t xml:space="preserve"> is applied for PDSCH</w:t>
      </w:r>
      <w:r>
        <w:t xml:space="preserve"> and</w:t>
      </w:r>
      <w:r w:rsidR="00004154">
        <w:t xml:space="preserve"> a</w:t>
      </w:r>
      <w:r>
        <w:t xml:space="preserve"> wide-band channel estimation is used for DMRS, which takes the PDP estimation from TRS as input. The PDP estimation is</w:t>
      </w:r>
      <w:r w:rsidR="00004154">
        <w:t xml:space="preserve"> performed</w:t>
      </w:r>
      <w:r>
        <w:t xml:space="preserve"> without any filtering across TRS burst. To isolate</w:t>
      </w:r>
      <w:r w:rsidR="00004154">
        <w:t xml:space="preserve"> out the effect of</w:t>
      </w:r>
      <w:r>
        <w:t xml:space="preserve"> TRS</w:t>
      </w:r>
      <w:r w:rsidR="00004154">
        <w:t xml:space="preserve"> BW</w:t>
      </w:r>
      <w:r>
        <w:t>, we adopted genie TTL, FTL, and Doppler spread estimation without introducing any drift modeling in the simulator, in which case the periodicity should not matter.</w:t>
      </w:r>
    </w:p>
    <w:p w14:paraId="062284C1" w14:textId="70793BAD" w:rsidR="00247A79" w:rsidRDefault="00247A79" w:rsidP="00693A99">
      <w:pPr>
        <w:jc w:val="both"/>
      </w:pPr>
      <w:r>
        <w:t xml:space="preserve">In the set of figures below, we showed the throughput performance for different TRS BW </w:t>
      </w:r>
      <w:r w:rsidR="00004154">
        <w:t>for MIMO layer of 1, 2,3, and 4</w:t>
      </w:r>
      <w:r>
        <w:t>. The dashed red line indicate the case when genie PDP is used for DMRS channel estimation input.</w:t>
      </w:r>
      <w:r w:rsidR="00693A99">
        <w:t xml:space="preserve"> The following observation can be made from this set of results</w:t>
      </w:r>
    </w:p>
    <w:p w14:paraId="266AD2ED" w14:textId="77777777" w:rsidR="00693A99" w:rsidRPr="00693A99" w:rsidRDefault="00693A99" w:rsidP="00693A99">
      <w:pPr>
        <w:spacing w:after="0"/>
        <w:jc w:val="both"/>
        <w:rPr>
          <w:rFonts w:eastAsia="Tahoma"/>
          <w:b/>
          <w:color w:val="404040"/>
          <w:kern w:val="24"/>
          <w:lang w:eastAsia="zh-CN"/>
          <w14:textFill>
            <w14:solidFill>
              <w14:srgbClr w14:val="404040">
                <w14:lumMod w14:val="75000"/>
                <w14:lumOff w14:val="25000"/>
              </w14:srgbClr>
            </w14:solidFill>
          </w14:textFill>
        </w:rPr>
      </w:pPr>
      <w:r w:rsidRPr="00693A99">
        <w:rPr>
          <w:b/>
          <w:u w:val="single"/>
        </w:rPr>
        <w:t>Observation 1</w:t>
      </w:r>
      <w:r>
        <w:t>:</w:t>
      </w:r>
      <w:r w:rsidRPr="00693A99">
        <w:rPr>
          <w:rFonts w:ascii="Tahoma" w:eastAsia="Tahoma" w:hAnsi="Tahoma" w:cs="Tahoma"/>
          <w:b/>
          <w:color w:val="404040"/>
          <w:kern w:val="24"/>
          <w:sz w:val="36"/>
          <w:szCs w:val="36"/>
          <w:lang w:eastAsia="zh-CN"/>
          <w14:textFill>
            <w14:solidFill>
              <w14:srgbClr w14:val="404040">
                <w14:lumMod w14:val="75000"/>
                <w14:lumOff w14:val="25000"/>
              </w14:srgbClr>
            </w14:solidFill>
          </w14:textFill>
        </w:rPr>
        <w:t xml:space="preserve"> </w:t>
      </w:r>
    </w:p>
    <w:p w14:paraId="29F91431" w14:textId="3A1FA6E4" w:rsidR="006E0118" w:rsidRDefault="00693A99" w:rsidP="00693A99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693A99">
        <w:rPr>
          <w:rFonts w:ascii="Times New Roman" w:hAnsi="Times New Roman"/>
          <w:sz w:val="20"/>
          <w:szCs w:val="20"/>
        </w:rPr>
        <w:t>S</w:t>
      </w:r>
      <w:r w:rsidR="004426EB" w:rsidRPr="00693A99">
        <w:rPr>
          <w:rFonts w:ascii="Times New Roman" w:hAnsi="Times New Roman"/>
          <w:sz w:val="20"/>
          <w:szCs w:val="20"/>
        </w:rPr>
        <w:t>mall TRS BW leads to noticeable throughput loss at high spectrum efficiency</w:t>
      </w:r>
      <w:r w:rsidRPr="00693A99">
        <w:rPr>
          <w:rFonts w:ascii="Times New Roman" w:hAnsi="Times New Roman"/>
          <w:sz w:val="20"/>
          <w:szCs w:val="20"/>
        </w:rPr>
        <w:t xml:space="preserve"> when the PDSCH BW allocation is large</w:t>
      </w:r>
      <w:r w:rsidR="004426EB" w:rsidRPr="00693A99">
        <w:rPr>
          <w:rFonts w:ascii="Times New Roman" w:hAnsi="Times New Roman"/>
          <w:sz w:val="20"/>
          <w:szCs w:val="20"/>
        </w:rPr>
        <w:t xml:space="preserve">. </w:t>
      </w:r>
    </w:p>
    <w:p w14:paraId="01C464DF" w14:textId="108F59FA" w:rsidR="00693A99" w:rsidRPr="00693A99" w:rsidRDefault="00693A99" w:rsidP="00693A99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TRS BW is on the same scale of PDSCH allocation BW, then the PDSCH performance with TRS-based PDP estimation is close to the one with genie PDP information. </w:t>
      </w:r>
    </w:p>
    <w:p w14:paraId="708661FA" w14:textId="2E1FA909" w:rsidR="00693A99" w:rsidRDefault="00693A99" w:rsidP="00693A99">
      <w:pPr>
        <w:jc w:val="both"/>
      </w:pPr>
      <w:r>
        <w:t>which leads to the following proposal:</w:t>
      </w:r>
    </w:p>
    <w:p w14:paraId="64C4152D" w14:textId="371CC17F" w:rsidR="00693A99" w:rsidRPr="005034F3" w:rsidRDefault="00693A99" w:rsidP="005034F3">
      <w:pPr>
        <w:spacing w:after="0"/>
        <w:jc w:val="both"/>
      </w:pPr>
      <w:r>
        <w:rPr>
          <w:b/>
          <w:u w:val="single"/>
        </w:rPr>
        <w:t>Proposal</w:t>
      </w:r>
      <w:r w:rsidRPr="00693A99">
        <w:rPr>
          <w:b/>
          <w:u w:val="single"/>
        </w:rPr>
        <w:t xml:space="preserve"> 1</w:t>
      </w:r>
      <w:r>
        <w:t>:</w:t>
      </w:r>
      <w:r w:rsidR="00E031CC">
        <w:t xml:space="preserve"> </w:t>
      </w:r>
      <w:r w:rsidRPr="00E031CC">
        <w:t>TRS BW is the same as the BW of the</w:t>
      </w:r>
      <w:r w:rsidRPr="005034F3">
        <w:t xml:space="preserve"> active BWP.</w:t>
      </w:r>
    </w:p>
    <w:p w14:paraId="4F10F012" w14:textId="77777777" w:rsidR="00693A99" w:rsidRDefault="00693A99" w:rsidP="00693A99">
      <w:pPr>
        <w:jc w:val="both"/>
      </w:pPr>
    </w:p>
    <w:p w14:paraId="73405D7A" w14:textId="77777777" w:rsidR="00247A79" w:rsidRDefault="00247A79" w:rsidP="00247A79">
      <w:pPr>
        <w:keepNext/>
        <w:jc w:val="center"/>
      </w:pPr>
      <w:r w:rsidRPr="00247A79">
        <w:rPr>
          <w:noProof/>
          <w:lang w:eastAsia="ko-KR"/>
        </w:rPr>
        <w:drawing>
          <wp:inline distT="0" distB="0" distL="0" distR="0" wp14:anchorId="57A84586" wp14:editId="512B19F6">
            <wp:extent cx="3095625" cy="2339867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9950" cy="234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ADCD3" w14:textId="59F233D2" w:rsidR="00247A79" w:rsidRPr="005034F3" w:rsidRDefault="00247A79" w:rsidP="00E031CC">
      <w:pPr>
        <w:pStyle w:val="Caption"/>
      </w:pPr>
      <w:r w:rsidRPr="00E031CC">
        <w:t xml:space="preserve">Figure </w:t>
      </w:r>
      <w:fldSimple w:instr=" SEQ Figure \* ARABIC ">
        <w:r w:rsidR="00B446F2" w:rsidRPr="005034F3">
          <w:t>1</w:t>
        </w:r>
      </w:fldSimple>
      <w:r w:rsidR="00E031CC" w:rsidRPr="00E031CC">
        <w:t>:</w:t>
      </w:r>
      <w:r w:rsidRPr="005034F3">
        <w:t xml:space="preserve"> PDSCH performance with MIMO layer = 1</w:t>
      </w:r>
    </w:p>
    <w:p w14:paraId="75052D06" w14:textId="77777777" w:rsidR="00693A99" w:rsidRDefault="00247A79" w:rsidP="00693A99">
      <w:pPr>
        <w:keepNext/>
        <w:jc w:val="center"/>
      </w:pPr>
      <w:r w:rsidRPr="00247A79">
        <w:rPr>
          <w:noProof/>
          <w:lang w:eastAsia="ko-KR"/>
        </w:rPr>
        <w:drawing>
          <wp:inline distT="0" distB="0" distL="0" distR="0" wp14:anchorId="060DDA3C" wp14:editId="21364FFD">
            <wp:extent cx="3284220" cy="248221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AA37C" w14:textId="0CB19C67" w:rsidR="00247A79" w:rsidRPr="00693A99" w:rsidRDefault="00693A99" w:rsidP="00E031CC">
      <w:pPr>
        <w:pStyle w:val="Caption"/>
      </w:pPr>
      <w:r w:rsidRPr="00693A99">
        <w:t xml:space="preserve">Figure </w:t>
      </w:r>
      <w:fldSimple w:instr=" SEQ Figure \* ARABIC ">
        <w:r w:rsidR="00B446F2">
          <w:rPr>
            <w:noProof/>
          </w:rPr>
          <w:t>2</w:t>
        </w:r>
      </w:fldSimple>
      <w:r w:rsidR="00E031CC">
        <w:t>:</w:t>
      </w:r>
      <w:r w:rsidRPr="00693A99">
        <w:t xml:space="preserve"> PDSCH performance with MIMO layer = 2</w:t>
      </w:r>
    </w:p>
    <w:p w14:paraId="20289C55" w14:textId="77777777" w:rsidR="00693A99" w:rsidRPr="00693A99" w:rsidRDefault="00247A79" w:rsidP="00693A99">
      <w:pPr>
        <w:keepNext/>
        <w:jc w:val="center"/>
      </w:pPr>
      <w:r w:rsidRPr="00693A99">
        <w:rPr>
          <w:noProof/>
          <w:lang w:eastAsia="ko-KR"/>
        </w:rPr>
        <w:drawing>
          <wp:inline distT="0" distB="0" distL="0" distR="0" wp14:anchorId="178CF347" wp14:editId="426B3BCD">
            <wp:extent cx="3386937" cy="25600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937" cy="256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06ADF" w14:textId="50D61526" w:rsidR="00247A79" w:rsidRPr="00693A99" w:rsidRDefault="00693A99" w:rsidP="00E031CC">
      <w:pPr>
        <w:pStyle w:val="Caption"/>
      </w:pPr>
      <w:r w:rsidRPr="00693A99">
        <w:t xml:space="preserve">Figure </w:t>
      </w:r>
      <w:fldSimple w:instr=" SEQ Figure \* ARABIC ">
        <w:r w:rsidR="00B446F2">
          <w:rPr>
            <w:noProof/>
          </w:rPr>
          <w:t>3</w:t>
        </w:r>
      </w:fldSimple>
      <w:r w:rsidR="00E031CC">
        <w:t>:</w:t>
      </w:r>
      <w:r w:rsidRPr="00693A99">
        <w:t xml:space="preserve"> PDSCH performance with MIMO layer = 3</w:t>
      </w:r>
    </w:p>
    <w:p w14:paraId="43D26319" w14:textId="77777777" w:rsidR="00693A99" w:rsidRPr="00693A99" w:rsidRDefault="00693A99" w:rsidP="00693A99">
      <w:pPr>
        <w:keepNext/>
        <w:jc w:val="center"/>
      </w:pPr>
      <w:r w:rsidRPr="00693A99">
        <w:rPr>
          <w:noProof/>
          <w:lang w:eastAsia="ko-KR"/>
        </w:rPr>
        <w:drawing>
          <wp:inline distT="0" distB="0" distL="0" distR="0" wp14:anchorId="754CDECD" wp14:editId="210C58AF">
            <wp:extent cx="3408680" cy="257619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8680" cy="257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C25F7" w14:textId="39564B93" w:rsidR="00247A79" w:rsidRPr="00693A99" w:rsidRDefault="00693A99" w:rsidP="00E031CC">
      <w:pPr>
        <w:pStyle w:val="Caption"/>
      </w:pPr>
      <w:r w:rsidRPr="00693A99">
        <w:t xml:space="preserve">Figure </w:t>
      </w:r>
      <w:fldSimple w:instr=" SEQ Figure \* ARABIC ">
        <w:r w:rsidR="00B446F2">
          <w:rPr>
            <w:noProof/>
          </w:rPr>
          <w:t>4</w:t>
        </w:r>
      </w:fldSimple>
      <w:r w:rsidR="00E031CC">
        <w:t>:</w:t>
      </w:r>
      <w:r w:rsidRPr="00693A99">
        <w:t xml:space="preserve"> PDSCH performance with MIMO layer = 4</w:t>
      </w:r>
    </w:p>
    <w:p w14:paraId="054A63C1" w14:textId="2E665D09" w:rsidR="00247A79" w:rsidRPr="00DA2420" w:rsidRDefault="00247A79" w:rsidP="00D8017E"/>
    <w:p w14:paraId="2EF1593E" w14:textId="3CD90DC3" w:rsidR="00D35627" w:rsidRDefault="009E406B" w:rsidP="00D35627">
      <w:pPr>
        <w:pStyle w:val="Heading1"/>
        <w:ind w:left="432"/>
        <w:jc w:val="both"/>
      </w:pPr>
      <w:r>
        <w:t>TRS with CDRX</w:t>
      </w:r>
    </w:p>
    <w:p w14:paraId="056B74CD" w14:textId="63EDBD0A" w:rsidR="00D35627" w:rsidRDefault="009E406B" w:rsidP="00D8017E">
      <w:r>
        <w:t xml:space="preserve">So far discussion has been focusing on the mode without CDRX. We also need to consider the TRS together with CDRX. </w:t>
      </w:r>
      <w:r w:rsidR="00A918EA">
        <w:t>T</w:t>
      </w:r>
      <w:r>
        <w:t xml:space="preserve">he TRS </w:t>
      </w:r>
      <w:r w:rsidR="00A918EA">
        <w:t xml:space="preserve">transmission occasion </w:t>
      </w:r>
      <w:r>
        <w:t>relative to the CDRX cycle</w:t>
      </w:r>
      <w:r w:rsidR="00A918EA">
        <w:t xml:space="preserve"> needs to be carefully considered</w:t>
      </w:r>
      <w:r>
        <w:t>. TRS may be transmitted during CDRX off state where UE is not required to wake up, or TRS may be aligned with CDRX on-duration. Considering the overhead, it is beneficial to have shared TRS (or even cell-specific (beam-specific) TRS)</w:t>
      </w:r>
      <w:r w:rsidR="00A918EA">
        <w:t xml:space="preserve"> instead of UE-specific TRS</w:t>
      </w:r>
      <w:r>
        <w:t xml:space="preserve">. In order to multiplex many UEs with CDRX, CDRX may not be aligned for all the UEs in the cell. </w:t>
      </w:r>
      <w:r w:rsidR="00A918EA">
        <w:t>I</w:t>
      </w:r>
      <w:r>
        <w:t>t can be tricky to align the TRS with CDRX on-duration for all the UEs.</w:t>
      </w:r>
      <w:r w:rsidR="00A918EA">
        <w:t xml:space="preserve"> Therefore, it is beneficial to consider aperiodic TRS in the beginning of CDRX</w:t>
      </w:r>
      <w:r w:rsidR="00E031CC">
        <w:t xml:space="preserve"> for fast and spectrally efficient data transmission</w:t>
      </w:r>
      <w:r w:rsidR="00A918EA">
        <w:t xml:space="preserve"> when the grant will be issued for that CDRX cycle.</w:t>
      </w:r>
      <w:r w:rsidR="00E031CC">
        <w:t xml:space="preserve"> Otherwise, UE performance in the beginning of CDRX may be compromised.</w:t>
      </w:r>
    </w:p>
    <w:p w14:paraId="7E5D2BAF" w14:textId="45AB7BC8" w:rsidR="0004074F" w:rsidRDefault="00A918EA" w:rsidP="00D8017E">
      <w:pPr>
        <w:rPr>
          <w:szCs w:val="24"/>
        </w:rPr>
      </w:pPr>
      <w:r>
        <w:rPr>
          <w:b/>
          <w:bCs/>
          <w:szCs w:val="24"/>
          <w:u w:val="single"/>
        </w:rPr>
        <w:t xml:space="preserve">Proposal </w:t>
      </w:r>
      <w:r w:rsidR="00C63F11">
        <w:rPr>
          <w:b/>
          <w:bCs/>
          <w:szCs w:val="24"/>
          <w:u w:val="single"/>
        </w:rPr>
        <w:t>2</w:t>
      </w:r>
      <w:r>
        <w:rPr>
          <w:szCs w:val="24"/>
        </w:rPr>
        <w:t xml:space="preserve">: Consider aperiodic TRS in the beginning of CDRX paired with the </w:t>
      </w:r>
      <w:r w:rsidR="005D267A">
        <w:rPr>
          <w:szCs w:val="24"/>
        </w:rPr>
        <w:t xml:space="preserve">grant or </w:t>
      </w:r>
      <w:r>
        <w:rPr>
          <w:szCs w:val="24"/>
        </w:rPr>
        <w:t>grant indicator</w:t>
      </w:r>
      <w:r w:rsidR="005D267A">
        <w:rPr>
          <w:szCs w:val="24"/>
        </w:rPr>
        <w:t xml:space="preserve"> [7]</w:t>
      </w:r>
      <w:r>
        <w:rPr>
          <w:szCs w:val="24"/>
        </w:rPr>
        <w:t>.</w:t>
      </w:r>
    </w:p>
    <w:p w14:paraId="3998594A" w14:textId="3CF415FE" w:rsidR="00E031CC" w:rsidRDefault="00E031CC" w:rsidP="00D8017E">
      <w:pPr>
        <w:rPr>
          <w:szCs w:val="24"/>
        </w:rPr>
      </w:pPr>
      <w:r>
        <w:rPr>
          <w:szCs w:val="24"/>
        </w:rPr>
        <w:t>One issue is how to rate match around the aperiodic TRS when aperiodic TRS is transmitted. There can be different options but we can adopt a similar way as in aperiodic CSI-RS indication for rate matching purpose. In other words, DCI containing DL grant can indicate the presence of aperiodic TRS for the scheduled UE.</w:t>
      </w:r>
    </w:p>
    <w:p w14:paraId="69B181F3" w14:textId="5EB886E3" w:rsidR="00E031CC" w:rsidRDefault="00E031CC" w:rsidP="00E031CC">
      <w:pPr>
        <w:rPr>
          <w:szCs w:val="24"/>
        </w:rPr>
      </w:pPr>
      <w:r>
        <w:rPr>
          <w:b/>
          <w:bCs/>
          <w:szCs w:val="24"/>
          <w:u w:val="single"/>
        </w:rPr>
        <w:t xml:space="preserve">Proposal </w:t>
      </w:r>
      <w:r w:rsidR="00C63F11">
        <w:rPr>
          <w:b/>
          <w:bCs/>
          <w:szCs w:val="24"/>
          <w:u w:val="single"/>
        </w:rPr>
        <w:t>3</w:t>
      </w:r>
      <w:r>
        <w:rPr>
          <w:szCs w:val="24"/>
        </w:rPr>
        <w:t>: When aperiodic TRS is transmitted, the DCI containing a DL grant indicates the presence of aperiodic TRS for the scheduled UE.</w:t>
      </w:r>
    </w:p>
    <w:p w14:paraId="46F13347" w14:textId="4406EA9B" w:rsidR="00E3066B" w:rsidRDefault="00E3066B" w:rsidP="00C939E2">
      <w:pPr>
        <w:pStyle w:val="Heading1"/>
        <w:ind w:left="432"/>
        <w:jc w:val="both"/>
      </w:pPr>
      <w:r w:rsidRPr="00E05A22">
        <w:t xml:space="preserve">Conclusions </w:t>
      </w:r>
    </w:p>
    <w:p w14:paraId="3D8BC1AA" w14:textId="721689AD" w:rsidR="00E031CC" w:rsidRDefault="00E031CC" w:rsidP="005034F3">
      <w:r>
        <w:t>This contribution has discussed some open issues, including BW of TRS and the relationship between TRS and CDRX. The following observation and proposals have been made:</w:t>
      </w:r>
    </w:p>
    <w:p w14:paraId="1DF630C5" w14:textId="043EA96C" w:rsidR="00693A99" w:rsidRPr="00693A99" w:rsidRDefault="00E031CC" w:rsidP="005034F3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Tahoma"/>
          <w:b/>
          <w:color w:val="404040"/>
          <w:kern w:val="24"/>
          <w:lang w:eastAsia="zh-CN"/>
          <w14:textFill>
            <w14:solidFill>
              <w14:srgbClr w14:val="404040">
                <w14:lumMod w14:val="75000"/>
                <w14:lumOff w14:val="25000"/>
              </w14:srgbClr>
            </w14:solidFill>
          </w14:textFill>
        </w:rPr>
      </w:pPr>
      <w:r>
        <w:t xml:space="preserve"> </w:t>
      </w:r>
      <w:r w:rsidR="00693A99" w:rsidRPr="00693A99">
        <w:rPr>
          <w:b/>
          <w:u w:val="single"/>
        </w:rPr>
        <w:t>Observation 1</w:t>
      </w:r>
      <w:r w:rsidR="00693A99">
        <w:t>:</w:t>
      </w:r>
      <w:r w:rsidR="00693A99" w:rsidRPr="00693A99">
        <w:rPr>
          <w:rFonts w:ascii="Tahoma" w:eastAsia="Tahoma" w:hAnsi="Tahoma" w:cs="Tahoma"/>
          <w:b/>
          <w:color w:val="404040"/>
          <w:kern w:val="24"/>
          <w:sz w:val="36"/>
          <w:szCs w:val="36"/>
          <w:lang w:eastAsia="zh-CN"/>
          <w14:textFill>
            <w14:solidFill>
              <w14:srgbClr w14:val="404040">
                <w14:lumMod w14:val="75000"/>
                <w14:lumOff w14:val="25000"/>
              </w14:srgbClr>
            </w14:solidFill>
          </w14:textFill>
        </w:rPr>
        <w:t xml:space="preserve"> </w:t>
      </w:r>
      <w:bookmarkStart w:id="2" w:name="_GoBack"/>
      <w:bookmarkEnd w:id="2"/>
    </w:p>
    <w:p w14:paraId="08B9BA6E" w14:textId="77777777" w:rsidR="00693A99" w:rsidRDefault="00693A99" w:rsidP="00693A99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693A99">
        <w:rPr>
          <w:rFonts w:ascii="Times New Roman" w:hAnsi="Times New Roman"/>
          <w:sz w:val="20"/>
          <w:szCs w:val="20"/>
        </w:rPr>
        <w:t xml:space="preserve">Small TRS BW leads to noticeable throughput loss at high spectrum efficiency when the PDSCH BW allocation is large. </w:t>
      </w:r>
    </w:p>
    <w:p w14:paraId="5831BEAA" w14:textId="77777777" w:rsidR="00693A99" w:rsidRPr="00693A99" w:rsidRDefault="00693A99" w:rsidP="00693A99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TRS BW is on the same scale of PDSCH allocation BW, then the PDSCH performance with TRS-based PDP estimation is close to the one with genie PDP information. </w:t>
      </w:r>
    </w:p>
    <w:p w14:paraId="25E03DE3" w14:textId="78AB8429" w:rsidR="00E031CC" w:rsidRPr="00406564" w:rsidRDefault="00E031CC" w:rsidP="005034F3">
      <w:r>
        <w:rPr>
          <w:b/>
          <w:u w:val="single"/>
        </w:rPr>
        <w:t>Proposal</w:t>
      </w:r>
      <w:r w:rsidRPr="00693A99">
        <w:rPr>
          <w:b/>
          <w:u w:val="single"/>
        </w:rPr>
        <w:t xml:space="preserve"> 1</w:t>
      </w:r>
      <w:r>
        <w:t xml:space="preserve">: </w:t>
      </w:r>
      <w:r w:rsidRPr="00406564">
        <w:t>TRS BW is the same as the BW of the active BWP.</w:t>
      </w:r>
    </w:p>
    <w:p w14:paraId="6EE26D34" w14:textId="77777777" w:rsidR="00E031CC" w:rsidRDefault="00E031CC" w:rsidP="00E031CC">
      <w:pPr>
        <w:rPr>
          <w:szCs w:val="24"/>
        </w:rPr>
      </w:pPr>
      <w:r>
        <w:rPr>
          <w:b/>
          <w:bCs/>
          <w:szCs w:val="24"/>
          <w:u w:val="single"/>
        </w:rPr>
        <w:t>Proposal 3</w:t>
      </w:r>
      <w:r>
        <w:rPr>
          <w:szCs w:val="24"/>
        </w:rPr>
        <w:t>: Consider aperiodic TRS in the beginning of CDRX paired with the grant or grant indicator [7].</w:t>
      </w:r>
    </w:p>
    <w:p w14:paraId="793D73CD" w14:textId="77777777" w:rsidR="00E031CC" w:rsidRDefault="00E031CC" w:rsidP="00E031CC">
      <w:pPr>
        <w:rPr>
          <w:szCs w:val="24"/>
        </w:rPr>
      </w:pPr>
      <w:r>
        <w:rPr>
          <w:b/>
          <w:bCs/>
          <w:szCs w:val="24"/>
          <w:u w:val="single"/>
        </w:rPr>
        <w:t>Proposal 4</w:t>
      </w:r>
      <w:r>
        <w:rPr>
          <w:szCs w:val="24"/>
        </w:rPr>
        <w:t>: When aperiodic TRS is transmitted, the DCI containing a DL grant indicates the presence of aperiodic TRS for the scheduled UE.</w:t>
      </w:r>
    </w:p>
    <w:p w14:paraId="46F1334D" w14:textId="24D89BAE" w:rsidR="00E3066B" w:rsidRPr="001109A6" w:rsidRDefault="00E3066B" w:rsidP="001109A6">
      <w:pPr>
        <w:pStyle w:val="Heading1"/>
        <w:ind w:left="432"/>
        <w:jc w:val="both"/>
      </w:pPr>
      <w:r w:rsidRPr="001109A6">
        <w:t>References</w:t>
      </w:r>
    </w:p>
    <w:p w14:paraId="7CCF0E0B" w14:textId="5AADFB9F" w:rsidR="00966E26" w:rsidRPr="00966E26" w:rsidRDefault="00254373" w:rsidP="00966E2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bookmarkStart w:id="3" w:name="_Ref485383493"/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RAN WG1 #</w:t>
      </w:r>
      <w:r w:rsidR="00D8017E">
        <w:rPr>
          <w:rFonts w:ascii="Times New Roman" w:eastAsia="SimSun" w:hAnsi="Times New Roman"/>
          <w:sz w:val="20"/>
          <w:szCs w:val="16"/>
          <w:lang w:val="en-GB" w:eastAsia="zh-CN"/>
        </w:rPr>
        <w:t>90</w:t>
      </w:r>
      <w:r w:rsidR="00E97796">
        <w:rPr>
          <w:rFonts w:ascii="Times New Roman" w:eastAsia="SimSun" w:hAnsi="Times New Roman"/>
          <w:sz w:val="20"/>
          <w:szCs w:val="16"/>
          <w:lang w:val="en-GB" w:eastAsia="zh-CN"/>
        </w:rPr>
        <w:t xml:space="preserve"> </w:t>
      </w:r>
      <w:r w:rsidR="00E97796" w:rsidRPr="00E97796">
        <w:rPr>
          <w:rFonts w:ascii="Times New Roman" w:eastAsia="SimSun" w:hAnsi="Times New Roman"/>
          <w:sz w:val="20"/>
          <w:szCs w:val="16"/>
          <w:lang w:val="en-GB" w:eastAsia="zh-CN"/>
        </w:rPr>
        <w:t>Chairman’s notes</w:t>
      </w:r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.</w:t>
      </w:r>
      <w:bookmarkEnd w:id="3"/>
      <w:r w:rsidR="00E97796">
        <w:rPr>
          <w:rFonts w:ascii="Times New Roman" w:hAnsi="Times New Roman"/>
          <w:sz w:val="20"/>
          <w:lang w:val="en-GB"/>
        </w:rPr>
        <w:t xml:space="preserve"> </w:t>
      </w:r>
    </w:p>
    <w:p w14:paraId="5C5F5D9E" w14:textId="574AE837" w:rsidR="00966E26" w:rsidRPr="00B96FC4" w:rsidRDefault="00966E26" w:rsidP="00966E2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bookmarkStart w:id="4" w:name="_Ref481706074"/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RAN WG1 #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88bis</w:t>
      </w:r>
      <w:r w:rsidR="00B96FC4">
        <w:rPr>
          <w:rFonts w:ascii="Times New Roman" w:eastAsia="SimSun" w:hAnsi="Times New Roman"/>
          <w:sz w:val="20"/>
          <w:szCs w:val="16"/>
          <w:lang w:val="en-GB" w:eastAsia="zh-CN"/>
        </w:rPr>
        <w:t xml:space="preserve"> R1-1705597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, “Initial Analysis on Fine Time Frequency Tracking RS design”, Qualcomm Inc.</w:t>
      </w:r>
      <w:bookmarkEnd w:id="4"/>
    </w:p>
    <w:p w14:paraId="08777533" w14:textId="090F065A" w:rsidR="00B96FC4" w:rsidRPr="00966E26" w:rsidRDefault="00B96FC4" w:rsidP="00B96FC4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bookmarkStart w:id="5" w:name="_Ref485383547"/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RAN WG1 #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89 R1-1708602, “Further Analysis on Fine Time Frequency Tracking RS design”, Qualcomm Inc.</w:t>
      </w:r>
      <w:bookmarkEnd w:id="5"/>
    </w:p>
    <w:p w14:paraId="7AACE7DA" w14:textId="43263167" w:rsidR="00AF4E23" w:rsidRPr="00AF4E23" w:rsidRDefault="00AF4E23" w:rsidP="00AF4E23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RAN WG1 #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89 R1-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1706939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, “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Reference Signal for fine time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 xml:space="preserve"> and frequency tracking”, 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Huawei, HiSilicon</w:t>
      </w:r>
    </w:p>
    <w:p w14:paraId="56479B44" w14:textId="2B42197B" w:rsidR="00AF4E23" w:rsidRPr="0074634C" w:rsidRDefault="00AF4E23" w:rsidP="00AF4E23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>RAN WG1 #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89 R1-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1707855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, “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RS design requirement for fine time and frequency tracking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 xml:space="preserve">”, </w:t>
      </w:r>
      <w:r w:rsidRPr="00AF4E23">
        <w:rPr>
          <w:rFonts w:ascii="Times New Roman" w:eastAsia="SimSun" w:hAnsi="Times New Roman"/>
          <w:sz w:val="20"/>
          <w:szCs w:val="16"/>
          <w:lang w:val="en-GB" w:eastAsia="zh-CN"/>
        </w:rPr>
        <w:t>MediaTek Inc.</w:t>
      </w:r>
    </w:p>
    <w:p w14:paraId="16F74237" w14:textId="3E813573" w:rsidR="0074634C" w:rsidRPr="001826AA" w:rsidRDefault="0074634C" w:rsidP="00AF4E23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bookmarkStart w:id="6" w:name="_Ref485396521"/>
      <w:r w:rsidRPr="0058211F">
        <w:rPr>
          <w:rFonts w:ascii="Times New Roman" w:eastAsia="SimSun" w:hAnsi="Times New Roman"/>
          <w:sz w:val="20"/>
          <w:szCs w:val="16"/>
          <w:lang w:val="en-GB" w:eastAsia="zh-CN"/>
        </w:rPr>
        <w:t xml:space="preserve">RAN WG1 </w:t>
      </w:r>
      <w:r w:rsidR="00A918EA">
        <w:rPr>
          <w:rFonts w:ascii="Times New Roman" w:eastAsia="SimSun" w:hAnsi="Times New Roman"/>
          <w:sz w:val="20"/>
          <w:szCs w:val="16"/>
          <w:lang w:val="en-GB" w:eastAsia="zh-CN"/>
        </w:rPr>
        <w:t>NR Ad-Hoc#2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 xml:space="preserve"> R</w:t>
      </w:r>
      <w:r w:rsidR="00A918EA">
        <w:rPr>
          <w:rFonts w:ascii="Times New Roman" w:eastAsia="SimSun" w:hAnsi="Times New Roman"/>
          <w:sz w:val="20"/>
          <w:szCs w:val="16"/>
          <w:lang w:val="en-GB" w:eastAsia="zh-CN"/>
        </w:rPr>
        <w:t>1</w:t>
      </w:r>
      <w:r>
        <w:rPr>
          <w:rFonts w:ascii="Times New Roman" w:eastAsia="SimSun" w:hAnsi="Times New Roman"/>
          <w:sz w:val="20"/>
          <w:szCs w:val="16"/>
          <w:lang w:val="en-GB" w:eastAsia="zh-CN"/>
        </w:rPr>
        <w:t>-1711167, “On multiplexing of different types of RS”, Qualcomm Inc.</w:t>
      </w:r>
      <w:bookmarkEnd w:id="6"/>
    </w:p>
    <w:p w14:paraId="289CA97B" w14:textId="6309A22A" w:rsidR="00A918EA" w:rsidRPr="00966E26" w:rsidRDefault="00A918EA" w:rsidP="00AF4E23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 WG1 NR Ad-Hoc#2 R1-1711187, “Advanced grant indication for UE power saving”, Qualcomm Inc.</w:t>
      </w:r>
    </w:p>
    <w:p w14:paraId="3C942010" w14:textId="6F2F1453" w:rsidR="00D12D27" w:rsidRPr="000579F3" w:rsidRDefault="00D12D27" w:rsidP="00D8017E"/>
    <w:sectPr w:rsidR="00D12D27" w:rsidRPr="000579F3" w:rsidSect="00F13C72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8209C" w14:textId="77777777" w:rsidR="0058758D" w:rsidRDefault="0058758D">
      <w:r>
        <w:separator/>
      </w:r>
    </w:p>
  </w:endnote>
  <w:endnote w:type="continuationSeparator" w:id="0">
    <w:p w14:paraId="60973231" w14:textId="77777777" w:rsidR="0058758D" w:rsidRDefault="0058758D">
      <w:r>
        <w:continuationSeparator/>
      </w:r>
    </w:p>
  </w:endnote>
  <w:endnote w:type="continuationNotice" w:id="1">
    <w:p w14:paraId="399483E2" w14:textId="77777777" w:rsidR="0058758D" w:rsidRDefault="00587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9" w14:textId="77777777" w:rsidR="00A333FD" w:rsidRDefault="00A333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A333FD" w:rsidRDefault="00A333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B" w14:textId="5FB83720" w:rsidR="00A333FD" w:rsidRDefault="00A333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4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46E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090F5" w14:textId="77777777" w:rsidR="0058758D" w:rsidRDefault="0058758D">
      <w:r>
        <w:separator/>
      </w:r>
    </w:p>
  </w:footnote>
  <w:footnote w:type="continuationSeparator" w:id="0">
    <w:p w14:paraId="188BF394" w14:textId="77777777" w:rsidR="0058758D" w:rsidRDefault="0058758D">
      <w:r>
        <w:continuationSeparator/>
      </w:r>
    </w:p>
  </w:footnote>
  <w:footnote w:type="continuationNotice" w:id="1">
    <w:p w14:paraId="0BDD8844" w14:textId="77777777" w:rsidR="0058758D" w:rsidRDefault="005875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8" w14:textId="77777777" w:rsidR="00A333FD" w:rsidRDefault="00A33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6040029E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821BB6"/>
    <w:multiLevelType w:val="hybridMultilevel"/>
    <w:tmpl w:val="AE463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D3BA4"/>
    <w:multiLevelType w:val="hybridMultilevel"/>
    <w:tmpl w:val="80E8C8EA"/>
    <w:lvl w:ilvl="0" w:tplc="73482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E0F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4D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A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67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F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29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B7533"/>
    <w:multiLevelType w:val="hybridMultilevel"/>
    <w:tmpl w:val="E3AE2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1F54E1"/>
    <w:multiLevelType w:val="hybridMultilevel"/>
    <w:tmpl w:val="F85A4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50C17"/>
    <w:multiLevelType w:val="hybridMultilevel"/>
    <w:tmpl w:val="0972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C45C7"/>
    <w:multiLevelType w:val="hybridMultilevel"/>
    <w:tmpl w:val="2DA0B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9490D"/>
    <w:multiLevelType w:val="hybridMultilevel"/>
    <w:tmpl w:val="F4EC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448DD"/>
    <w:multiLevelType w:val="hybridMultilevel"/>
    <w:tmpl w:val="0574B58A"/>
    <w:lvl w:ilvl="0" w:tplc="0254B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FE4D5D4">
      <w:start w:val="4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BD08D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7C8C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92483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9365F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E448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7BA3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A5425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DF354A"/>
    <w:multiLevelType w:val="hybridMultilevel"/>
    <w:tmpl w:val="3816F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25410"/>
    <w:multiLevelType w:val="hybridMultilevel"/>
    <w:tmpl w:val="51D6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72B26"/>
    <w:multiLevelType w:val="hybridMultilevel"/>
    <w:tmpl w:val="3950FCB6"/>
    <w:lvl w:ilvl="0" w:tplc="88081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F3E0B1A">
      <w:start w:val="2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28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AC64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08D0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FE5A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BC6E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08CEBC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3470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44CFE"/>
    <w:multiLevelType w:val="hybridMultilevel"/>
    <w:tmpl w:val="A240EE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732EDF"/>
    <w:multiLevelType w:val="hybridMultilevel"/>
    <w:tmpl w:val="E06047EC"/>
    <w:lvl w:ilvl="0" w:tplc="911C8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90B7D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7363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0F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27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326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2E3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64DC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043E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523BCA"/>
    <w:multiLevelType w:val="hybridMultilevel"/>
    <w:tmpl w:val="F3105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4521E"/>
    <w:multiLevelType w:val="hybridMultilevel"/>
    <w:tmpl w:val="26FAC1B0"/>
    <w:lvl w:ilvl="0" w:tplc="EF1810C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66CCB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88074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20C7D7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592346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862D5E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CDA3FB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654EA1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5E4E68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8B778B"/>
    <w:multiLevelType w:val="hybridMultilevel"/>
    <w:tmpl w:val="A3BAC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5" w15:restartNumberingAfterBreak="0">
    <w:nsid w:val="72305D67"/>
    <w:multiLevelType w:val="hybridMultilevel"/>
    <w:tmpl w:val="E5B8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75485"/>
    <w:multiLevelType w:val="hybridMultilevel"/>
    <w:tmpl w:val="4EBC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0056F"/>
    <w:multiLevelType w:val="hybridMultilevel"/>
    <w:tmpl w:val="45A09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0"/>
    <w:lvlOverride w:ilvl="0">
      <w:startOverride w:val="1"/>
    </w:lvlOverride>
  </w:num>
  <w:num w:numId="4">
    <w:abstractNumId w:val="34"/>
    <w:lvlOverride w:ilvl="0">
      <w:startOverride w:val="1"/>
    </w:lvlOverride>
  </w:num>
  <w:num w:numId="5">
    <w:abstractNumId w:val="8"/>
  </w:num>
  <w:num w:numId="6">
    <w:abstractNumId w:val="0"/>
  </w:num>
  <w:num w:numId="7">
    <w:abstractNumId w:val="37"/>
  </w:num>
  <w:num w:numId="8">
    <w:abstractNumId w:val="2"/>
  </w:num>
  <w:num w:numId="9">
    <w:abstractNumId w:val="3"/>
  </w:num>
  <w:num w:numId="10">
    <w:abstractNumId w:val="32"/>
  </w:num>
  <w:num w:numId="11">
    <w:abstractNumId w:val="1"/>
  </w:num>
  <w:num w:numId="12">
    <w:abstractNumId w:val="25"/>
  </w:num>
  <w:num w:numId="13">
    <w:abstractNumId w:val="28"/>
  </w:num>
  <w:num w:numId="14">
    <w:abstractNumId w:val="16"/>
  </w:num>
  <w:num w:numId="15">
    <w:abstractNumId w:val="26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31"/>
  </w:num>
  <w:num w:numId="25">
    <w:abstractNumId w:val="22"/>
  </w:num>
  <w:num w:numId="26">
    <w:abstractNumId w:val="33"/>
  </w:num>
  <w:num w:numId="27">
    <w:abstractNumId w:val="36"/>
  </w:num>
  <w:num w:numId="28">
    <w:abstractNumId w:val="10"/>
  </w:num>
  <w:num w:numId="29">
    <w:abstractNumId w:val="38"/>
  </w:num>
  <w:num w:numId="30">
    <w:abstractNumId w:val="12"/>
  </w:num>
  <w:num w:numId="31">
    <w:abstractNumId w:val="5"/>
  </w:num>
  <w:num w:numId="32">
    <w:abstractNumId w:val="27"/>
  </w:num>
  <w:num w:numId="33">
    <w:abstractNumId w:val="15"/>
  </w:num>
  <w:num w:numId="34">
    <w:abstractNumId w:val="19"/>
  </w:num>
  <w:num w:numId="35">
    <w:abstractNumId w:val="9"/>
  </w:num>
  <w:num w:numId="36">
    <w:abstractNumId w:val="17"/>
  </w:num>
  <w:num w:numId="37">
    <w:abstractNumId w:val="18"/>
  </w:num>
  <w:num w:numId="38">
    <w:abstractNumId w:val="35"/>
  </w:num>
  <w:num w:numId="39">
    <w:abstractNumId w:val="21"/>
  </w:num>
  <w:num w:numId="40">
    <w:abstractNumId w:val="11"/>
  </w:num>
  <w:num w:numId="41">
    <w:abstractNumId w:val="24"/>
  </w:num>
  <w:num w:numId="42">
    <w:abstractNumId w:val="23"/>
  </w:num>
  <w:num w:numId="43">
    <w:abstractNumId w:val="6"/>
  </w:num>
  <w:num w:numId="44">
    <w:abstractNumId w:val="30"/>
  </w:num>
  <w:num w:numId="45">
    <w:abstractNumId w:val="29"/>
  </w:num>
  <w:num w:numId="46">
    <w:abstractNumId w:val="7"/>
  </w:num>
  <w:num w:numId="4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154"/>
    <w:rsid w:val="0000459E"/>
    <w:rsid w:val="00004885"/>
    <w:rsid w:val="00004D8C"/>
    <w:rsid w:val="00004DCB"/>
    <w:rsid w:val="000051F0"/>
    <w:rsid w:val="0000553B"/>
    <w:rsid w:val="0000567F"/>
    <w:rsid w:val="00005B09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4F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16B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64E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317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825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676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2EFB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9F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D35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B9"/>
    <w:rsid w:val="001601C7"/>
    <w:rsid w:val="001602C2"/>
    <w:rsid w:val="00160674"/>
    <w:rsid w:val="00160786"/>
    <w:rsid w:val="00162262"/>
    <w:rsid w:val="0016235A"/>
    <w:rsid w:val="001623A3"/>
    <w:rsid w:val="00162BD5"/>
    <w:rsid w:val="00162CF1"/>
    <w:rsid w:val="00162F82"/>
    <w:rsid w:val="00162FDD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6AA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FBA"/>
    <w:rsid w:val="0019573B"/>
    <w:rsid w:val="0019592C"/>
    <w:rsid w:val="00196085"/>
    <w:rsid w:val="0019640C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1F2"/>
    <w:rsid w:val="001A36CF"/>
    <w:rsid w:val="001A3974"/>
    <w:rsid w:val="001A3F0F"/>
    <w:rsid w:val="001A3F6E"/>
    <w:rsid w:val="001A3FA5"/>
    <w:rsid w:val="001A4067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1C8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3B3A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591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15C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4ED"/>
    <w:rsid w:val="00220730"/>
    <w:rsid w:val="002208BE"/>
    <w:rsid w:val="0022091D"/>
    <w:rsid w:val="00220E92"/>
    <w:rsid w:val="00221022"/>
    <w:rsid w:val="002211DF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5B4C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919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A79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50A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17"/>
    <w:rsid w:val="002A025C"/>
    <w:rsid w:val="002A0581"/>
    <w:rsid w:val="002A05EF"/>
    <w:rsid w:val="002A0724"/>
    <w:rsid w:val="002A11AD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4E5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C7FB4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62F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E8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E5E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0B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418"/>
    <w:rsid w:val="00324701"/>
    <w:rsid w:val="0032489D"/>
    <w:rsid w:val="003249F8"/>
    <w:rsid w:val="0032556B"/>
    <w:rsid w:val="00325976"/>
    <w:rsid w:val="0032651E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A8F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44B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234"/>
    <w:rsid w:val="003604DB"/>
    <w:rsid w:val="00360F1C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D83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BB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DCB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93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07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C13"/>
    <w:rsid w:val="00400D86"/>
    <w:rsid w:val="004010EF"/>
    <w:rsid w:val="004017C6"/>
    <w:rsid w:val="00402195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2A4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97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4D7E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6F84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EB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58C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722"/>
    <w:rsid w:val="004F6AFE"/>
    <w:rsid w:val="004F6BAC"/>
    <w:rsid w:val="004F6F20"/>
    <w:rsid w:val="004F735F"/>
    <w:rsid w:val="004F7373"/>
    <w:rsid w:val="004F73A5"/>
    <w:rsid w:val="004F7594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4F3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652"/>
    <w:rsid w:val="005818D4"/>
    <w:rsid w:val="005819D7"/>
    <w:rsid w:val="00581AB8"/>
    <w:rsid w:val="00581C6E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8D"/>
    <w:rsid w:val="0058759B"/>
    <w:rsid w:val="0058764D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5BF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1D4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C13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67A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3C5"/>
    <w:rsid w:val="005D64A5"/>
    <w:rsid w:val="005D6929"/>
    <w:rsid w:val="005D6B30"/>
    <w:rsid w:val="005D6E1C"/>
    <w:rsid w:val="005D707C"/>
    <w:rsid w:val="005D7539"/>
    <w:rsid w:val="005D791E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2D8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2F53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3D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BF6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3CB8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E8D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3B2"/>
    <w:rsid w:val="006466B5"/>
    <w:rsid w:val="006477A7"/>
    <w:rsid w:val="0064795E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641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99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799"/>
    <w:rsid w:val="0069784B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83D"/>
    <w:rsid w:val="006B60AC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1FC8"/>
    <w:rsid w:val="006C23DC"/>
    <w:rsid w:val="006C2604"/>
    <w:rsid w:val="006C3309"/>
    <w:rsid w:val="006C375B"/>
    <w:rsid w:val="006C3FF3"/>
    <w:rsid w:val="006C4435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88F"/>
    <w:rsid w:val="006C6E92"/>
    <w:rsid w:val="006C75C9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460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B8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118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557B"/>
    <w:rsid w:val="006F5674"/>
    <w:rsid w:val="006F5B41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11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14D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19ED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634C"/>
    <w:rsid w:val="00747446"/>
    <w:rsid w:val="00747BD8"/>
    <w:rsid w:val="00747F05"/>
    <w:rsid w:val="0075038A"/>
    <w:rsid w:val="007503B7"/>
    <w:rsid w:val="0075048B"/>
    <w:rsid w:val="007509F9"/>
    <w:rsid w:val="00751F76"/>
    <w:rsid w:val="00752497"/>
    <w:rsid w:val="007524E2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2EA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5E09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453"/>
    <w:rsid w:val="00834512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3EBD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4C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3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EF9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2078E"/>
    <w:rsid w:val="00920848"/>
    <w:rsid w:val="00920F85"/>
    <w:rsid w:val="009216BF"/>
    <w:rsid w:val="0092176D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9C0"/>
    <w:rsid w:val="00935B52"/>
    <w:rsid w:val="00935B6E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26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97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5AA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9D0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397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4D7E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06B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A0018E"/>
    <w:rsid w:val="00A0050D"/>
    <w:rsid w:val="00A00B60"/>
    <w:rsid w:val="00A01006"/>
    <w:rsid w:val="00A01EFE"/>
    <w:rsid w:val="00A02B26"/>
    <w:rsid w:val="00A02BEC"/>
    <w:rsid w:val="00A02C96"/>
    <w:rsid w:val="00A02D52"/>
    <w:rsid w:val="00A02FBC"/>
    <w:rsid w:val="00A03A1D"/>
    <w:rsid w:val="00A03C88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FD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6D24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8E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C1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778"/>
    <w:rsid w:val="00AA69EF"/>
    <w:rsid w:val="00AA6F21"/>
    <w:rsid w:val="00AA6F9A"/>
    <w:rsid w:val="00AA787C"/>
    <w:rsid w:val="00AA7C4F"/>
    <w:rsid w:val="00AB001C"/>
    <w:rsid w:val="00AB01E8"/>
    <w:rsid w:val="00AB02C8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1BFE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A9C"/>
    <w:rsid w:val="00AC21BA"/>
    <w:rsid w:val="00AC22C7"/>
    <w:rsid w:val="00AC2799"/>
    <w:rsid w:val="00AC2A61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88D"/>
    <w:rsid w:val="00AE1999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4E23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7F0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287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1D2"/>
    <w:rsid w:val="00B3539A"/>
    <w:rsid w:val="00B35CB3"/>
    <w:rsid w:val="00B35F8E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63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6F2"/>
    <w:rsid w:val="00B4485B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2D1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A03"/>
    <w:rsid w:val="00B70A49"/>
    <w:rsid w:val="00B70EDB"/>
    <w:rsid w:val="00B7152D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2C"/>
    <w:rsid w:val="00B774CC"/>
    <w:rsid w:val="00B778E2"/>
    <w:rsid w:val="00B77B57"/>
    <w:rsid w:val="00B77D8A"/>
    <w:rsid w:val="00B8053A"/>
    <w:rsid w:val="00B80795"/>
    <w:rsid w:val="00B80F5B"/>
    <w:rsid w:val="00B811B6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3C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1E2"/>
    <w:rsid w:val="00B91356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6FC4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F5"/>
    <w:rsid w:val="00BB71EC"/>
    <w:rsid w:val="00BB724B"/>
    <w:rsid w:val="00BB740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3F27"/>
    <w:rsid w:val="00BC43F0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66B"/>
    <w:rsid w:val="00BE3AFA"/>
    <w:rsid w:val="00BE3F52"/>
    <w:rsid w:val="00BE403F"/>
    <w:rsid w:val="00BE5515"/>
    <w:rsid w:val="00BE5613"/>
    <w:rsid w:val="00BE5813"/>
    <w:rsid w:val="00BE5B4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C21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7DB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43A"/>
    <w:rsid w:val="00C634A3"/>
    <w:rsid w:val="00C63545"/>
    <w:rsid w:val="00C636B0"/>
    <w:rsid w:val="00C63F11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6E8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6FE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4D3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0FF2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447"/>
    <w:rsid w:val="00D017EE"/>
    <w:rsid w:val="00D01ADC"/>
    <w:rsid w:val="00D01C73"/>
    <w:rsid w:val="00D02369"/>
    <w:rsid w:val="00D02AFC"/>
    <w:rsid w:val="00D02C36"/>
    <w:rsid w:val="00D02E17"/>
    <w:rsid w:val="00D02F2F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2D27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627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596"/>
    <w:rsid w:val="00D44A5C"/>
    <w:rsid w:val="00D45B68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5F5E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17E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737"/>
    <w:rsid w:val="00D90773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C0"/>
    <w:rsid w:val="00D93EF4"/>
    <w:rsid w:val="00D94909"/>
    <w:rsid w:val="00D94BB0"/>
    <w:rsid w:val="00D94E78"/>
    <w:rsid w:val="00D94FF3"/>
    <w:rsid w:val="00D95322"/>
    <w:rsid w:val="00D955B0"/>
    <w:rsid w:val="00D957C0"/>
    <w:rsid w:val="00D95BC2"/>
    <w:rsid w:val="00D95BFF"/>
    <w:rsid w:val="00D95DF6"/>
    <w:rsid w:val="00D95F45"/>
    <w:rsid w:val="00D96AD5"/>
    <w:rsid w:val="00D9793D"/>
    <w:rsid w:val="00D97D08"/>
    <w:rsid w:val="00D97E86"/>
    <w:rsid w:val="00DA000D"/>
    <w:rsid w:val="00DA015E"/>
    <w:rsid w:val="00DA02EC"/>
    <w:rsid w:val="00DA0D04"/>
    <w:rsid w:val="00DA0FC0"/>
    <w:rsid w:val="00DA0FE7"/>
    <w:rsid w:val="00DA10F6"/>
    <w:rsid w:val="00DA1131"/>
    <w:rsid w:val="00DA1D80"/>
    <w:rsid w:val="00DA2046"/>
    <w:rsid w:val="00DA2185"/>
    <w:rsid w:val="00DA23D2"/>
    <w:rsid w:val="00DA2420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54D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CC"/>
    <w:rsid w:val="00E0324B"/>
    <w:rsid w:val="00E0337F"/>
    <w:rsid w:val="00E0345F"/>
    <w:rsid w:val="00E03BEA"/>
    <w:rsid w:val="00E0401E"/>
    <w:rsid w:val="00E04293"/>
    <w:rsid w:val="00E046C1"/>
    <w:rsid w:val="00E049DF"/>
    <w:rsid w:val="00E049EC"/>
    <w:rsid w:val="00E04A41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39A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4FD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288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300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81"/>
    <w:rsid w:val="00E861F7"/>
    <w:rsid w:val="00E86647"/>
    <w:rsid w:val="00E86BF7"/>
    <w:rsid w:val="00E87182"/>
    <w:rsid w:val="00E8753B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97796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660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3D8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48B"/>
    <w:rsid w:val="00EE59F0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2CD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CDA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3C72"/>
    <w:rsid w:val="00F1403E"/>
    <w:rsid w:val="00F140FE"/>
    <w:rsid w:val="00F1415B"/>
    <w:rsid w:val="00F14FB4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833"/>
    <w:rsid w:val="00F45B82"/>
    <w:rsid w:val="00F4619B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3EB"/>
    <w:rsid w:val="00F605D3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46F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B77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20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872"/>
    <w:rsid w:val="00FE2B7B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6F13309"/>
  <w15:docId w15:val="{FED70E1C-6761-427B-934B-C4B19AEA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E031CC"/>
    <w:pPr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9D0"/>
    <w:rPr>
      <w:rFonts w:ascii="Times New Roman" w:hAnsi="Times New Roman"/>
      <w:sz w:val="16"/>
      <w:lang w:eastAsia="en-US"/>
    </w:rPr>
  </w:style>
  <w:style w:type="table" w:styleId="GridTable4-Accent1">
    <w:name w:val="Grid Table 4 Accent 1"/>
    <w:basedOn w:val="TableNormal"/>
    <w:uiPriority w:val="49"/>
    <w:rsid w:val="00D12D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dnoteText">
    <w:name w:val="endnote text"/>
    <w:basedOn w:val="Normal"/>
    <w:link w:val="EndnoteTextChar"/>
    <w:semiHidden/>
    <w:unhideWhenUsed/>
    <w:rsid w:val="005D63C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D63C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5D63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4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2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3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HR33RHYHUWRF-4-5726</_dlc_DocId>
    <_dlc_DocIdUrl xmlns="c06861ca-3f08-4d07-bff7-bb15bac121f4">
      <Url>https://projects.qualcomm.com/sites/pentari/_layouts/15/DocIdRedir.aspx?ID=HR33RHYHUWRF-4-5726</Url>
      <Description>HR33RHYHUWRF-4-5726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FB683-DBBA-45BC-A8B9-C6C2620693F6}">
  <ds:schemaRefs>
    <ds:schemaRef ds:uri="c06861ca-3f08-4d07-bff7-bb15bac121f4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7A7681-E251-4738-B682-F3459679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dc:description/>
  <cp:lastModifiedBy>Heechoon Lee</cp:lastModifiedBy>
  <cp:revision>2</cp:revision>
  <cp:lastPrinted>2017-01-02T07:16:00Z</cp:lastPrinted>
  <dcterms:created xsi:type="dcterms:W3CDTF">2017-09-12T05:49:00Z</dcterms:created>
  <dcterms:modified xsi:type="dcterms:W3CDTF">2017-09-12T05:49:00Z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b3b8c8bf-5e47-4583-bb56-9e24f69ff711</vt:lpwstr>
  </property>
</Properties>
</file>